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0746" w14:textId="77777777" w:rsidR="00CA617E" w:rsidRPr="0026690A" w:rsidRDefault="00CA617E">
      <w:pPr>
        <w:widowControl w:val="0"/>
        <w:tabs>
          <w:tab w:val="center" w:pos="4968"/>
        </w:tabs>
        <w:jc w:val="both"/>
        <w:rPr>
          <w:rFonts w:ascii="Arial" w:hAnsi="Arial" w:cs="Arial"/>
          <w:szCs w:val="24"/>
        </w:rPr>
      </w:pPr>
      <w:r>
        <w:fldChar w:fldCharType="begin"/>
      </w:r>
      <w:r>
        <w:instrText xml:space="preserve"> SEQ CHAPTER \h \r 1</w:instrText>
      </w:r>
      <w:r>
        <w:fldChar w:fldCharType="end"/>
      </w:r>
      <w:r>
        <w:rPr>
          <w:rFonts w:ascii="Univers" w:hAnsi="Univers"/>
          <w:sz w:val="22"/>
        </w:rPr>
        <w:tab/>
      </w:r>
      <w:r w:rsidRPr="0026690A">
        <w:rPr>
          <w:rFonts w:ascii="Arial" w:hAnsi="Arial" w:cs="Arial"/>
          <w:b/>
          <w:szCs w:val="24"/>
        </w:rPr>
        <w:t>Guideline FOR ANIMAL BITES</w:t>
      </w:r>
    </w:p>
    <w:p w14:paraId="3716D2AF" w14:textId="77777777" w:rsidR="00CA617E" w:rsidRPr="0026690A" w:rsidRDefault="00CA617E">
      <w:pPr>
        <w:widowControl w:val="0"/>
        <w:rPr>
          <w:rFonts w:ascii="Arial" w:hAnsi="Arial" w:cs="Arial"/>
          <w:szCs w:val="24"/>
        </w:rPr>
      </w:pPr>
    </w:p>
    <w:p w14:paraId="19B1A50F" w14:textId="77777777" w:rsidR="00AB6C0A" w:rsidRDefault="00CA61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r w:rsidRPr="0026690A">
        <w:rPr>
          <w:rFonts w:ascii="Arial" w:hAnsi="Arial" w:cs="Arial"/>
          <w:szCs w:val="24"/>
        </w:rPr>
        <w:t xml:space="preserve">The Georgia Poison Center may be contacted for assistance in the management of animal bites (other than from snakes or spiders). </w:t>
      </w:r>
    </w:p>
    <w:p w14:paraId="181902B7" w14:textId="77777777" w:rsidR="00AB6C0A" w:rsidRDefault="00AB6C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70EC5D9C" w14:textId="14110EE8"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The items italicized here are GPC policy, intended to clarify the decision making process for cases involving potential or definite human rabies exposures.</w:t>
      </w:r>
    </w:p>
    <w:p w14:paraId="36D02288"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Once a complete history of exposure is obtained, including:</w:t>
      </w:r>
    </w:p>
    <w:p w14:paraId="69C994CB"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 xml:space="preserve"> 1) details about the exposure route(s), including information about bites or wounds, </w:t>
      </w:r>
    </w:p>
    <w:p w14:paraId="755E2455"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 xml:space="preserve"> 2) information about the health and vaccination status of involved animal(s),</w:t>
      </w:r>
    </w:p>
    <w:p w14:paraId="37A4C2FF"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 xml:space="preserve"> 3) the current location of the involved animal(s),</w:t>
      </w:r>
    </w:p>
    <w:p w14:paraId="46D97CB0"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 xml:space="preserve"> 4) the time course since the exposure, and</w:t>
      </w:r>
    </w:p>
    <w:p w14:paraId="209153CA"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 xml:space="preserve"> 5) previous health history of the involved individuals (including prior vaccination against rabies, if any),</w:t>
      </w:r>
    </w:p>
    <w:p w14:paraId="02483CC9" w14:textId="77777777" w:rsidR="00AB6C0A" w:rsidRPr="00AB6C0A" w:rsidRDefault="00AB6C0A" w:rsidP="00AB6C0A">
      <w:pPr>
        <w:rPr>
          <w:rFonts w:asciiTheme="minorHAnsi" w:hAnsiTheme="minorHAnsi" w:cstheme="minorHAnsi"/>
          <w:i/>
          <w:iCs/>
          <w:sz w:val="22"/>
          <w:szCs w:val="22"/>
        </w:rPr>
      </w:pPr>
    </w:p>
    <w:p w14:paraId="28509AAD"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Management step 1: Refer to the applicable Rabies guideline.</w:t>
      </w:r>
    </w:p>
    <w:p w14:paraId="374AA668"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Management step 2:  If use of rabies biologicals is contemplated, or if the best course of action is unclear, consult the toxicologist on call.</w:t>
      </w:r>
    </w:p>
    <w:p w14:paraId="45DEC02B"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Management step 3: If the best course of action remains unclear, consult GPC rabies expertise</w:t>
      </w:r>
    </w:p>
    <w:p w14:paraId="0D7F0A0A" w14:textId="256D3445" w:rsidR="00AB6C0A" w:rsidRPr="00AB6C0A" w:rsidRDefault="00AB6C0A" w:rsidP="00AB6C0A">
      <w:pPr>
        <w:pStyle w:val="ListParagraph"/>
        <w:numPr>
          <w:ilvl w:val="0"/>
          <w:numId w:val="1"/>
        </w:numPr>
        <w:rPr>
          <w:rFonts w:asciiTheme="minorHAnsi" w:hAnsiTheme="minorHAnsi" w:cstheme="minorHAnsi"/>
          <w:i/>
          <w:iCs/>
        </w:rPr>
      </w:pPr>
      <w:r w:rsidRPr="00AB6C0A">
        <w:rPr>
          <w:rFonts w:asciiTheme="minorHAnsi" w:hAnsiTheme="minorHAnsi" w:cstheme="minorHAnsi"/>
          <w:i/>
          <w:iCs/>
        </w:rPr>
        <w:t xml:space="preserve">Dr </w:t>
      </w:r>
      <w:r w:rsidR="00BF57DC">
        <w:rPr>
          <w:rFonts w:asciiTheme="minorHAnsi" w:hAnsiTheme="minorHAnsi" w:cstheme="minorHAnsi"/>
          <w:i/>
          <w:iCs/>
        </w:rPr>
        <w:t>Hon</w:t>
      </w:r>
    </w:p>
    <w:p w14:paraId="5DB0E1FF" w14:textId="08D54FDE" w:rsidR="00AB6C0A" w:rsidRPr="00AB6C0A" w:rsidRDefault="00AB6C0A" w:rsidP="00AB6C0A">
      <w:pPr>
        <w:pStyle w:val="ListParagraph"/>
        <w:numPr>
          <w:ilvl w:val="0"/>
          <w:numId w:val="1"/>
        </w:numPr>
        <w:rPr>
          <w:rFonts w:asciiTheme="minorHAnsi" w:hAnsiTheme="minorHAnsi" w:cstheme="minorHAnsi"/>
          <w:i/>
          <w:iCs/>
        </w:rPr>
      </w:pPr>
      <w:r w:rsidRPr="00AB6C0A">
        <w:rPr>
          <w:rFonts w:asciiTheme="minorHAnsi" w:hAnsiTheme="minorHAnsi" w:cstheme="minorHAnsi"/>
          <w:i/>
          <w:iCs/>
        </w:rPr>
        <w:t xml:space="preserve">Dr </w:t>
      </w:r>
      <w:r w:rsidR="00BF57DC">
        <w:rPr>
          <w:rFonts w:asciiTheme="minorHAnsi" w:hAnsiTheme="minorHAnsi" w:cstheme="minorHAnsi"/>
          <w:i/>
          <w:iCs/>
        </w:rPr>
        <w:t>Lopez</w:t>
      </w:r>
    </w:p>
    <w:p w14:paraId="65DACE99" w14:textId="77777777" w:rsidR="00AB6C0A" w:rsidRPr="00AB6C0A" w:rsidRDefault="00AB6C0A" w:rsidP="00AB6C0A">
      <w:pPr>
        <w:pStyle w:val="ListParagraph"/>
        <w:numPr>
          <w:ilvl w:val="0"/>
          <w:numId w:val="1"/>
        </w:numPr>
        <w:rPr>
          <w:rFonts w:asciiTheme="minorHAnsi" w:hAnsiTheme="minorHAnsi" w:cstheme="minorHAnsi"/>
          <w:i/>
          <w:iCs/>
        </w:rPr>
      </w:pPr>
      <w:r w:rsidRPr="00AB6C0A">
        <w:rPr>
          <w:rFonts w:asciiTheme="minorHAnsi" w:hAnsiTheme="minorHAnsi" w:cstheme="minorHAnsi"/>
          <w:i/>
          <w:iCs/>
        </w:rPr>
        <w:t>If neither is available, consult the Tox Attending on call</w:t>
      </w:r>
    </w:p>
    <w:p w14:paraId="1634B10E" w14:textId="77777777" w:rsidR="00AB6C0A" w:rsidRPr="00AB6C0A" w:rsidRDefault="00AB6C0A" w:rsidP="00AB6C0A">
      <w:pPr>
        <w:rPr>
          <w:rFonts w:asciiTheme="minorHAnsi" w:hAnsiTheme="minorHAnsi" w:cstheme="minorHAnsi"/>
          <w:i/>
          <w:iCs/>
          <w:sz w:val="22"/>
          <w:szCs w:val="22"/>
        </w:rPr>
      </w:pPr>
      <w:r w:rsidRPr="00AB6C0A">
        <w:rPr>
          <w:rFonts w:asciiTheme="minorHAnsi" w:hAnsiTheme="minorHAnsi" w:cstheme="minorHAnsi"/>
          <w:i/>
          <w:iCs/>
          <w:sz w:val="22"/>
          <w:szCs w:val="22"/>
        </w:rPr>
        <w:t>Management step 4: If the best course of action still remains unclear, consult GDPH Epi rabies expert. Do NOT contact GDPH Med Epidemiologist on call. Try to reach one of them in the following order:</w:t>
      </w:r>
    </w:p>
    <w:p w14:paraId="7E792805" w14:textId="77777777" w:rsidR="00AB6C0A" w:rsidRPr="00AB6C0A" w:rsidRDefault="00AB6C0A" w:rsidP="00AB6C0A">
      <w:pPr>
        <w:pStyle w:val="ListParagraph"/>
        <w:numPr>
          <w:ilvl w:val="0"/>
          <w:numId w:val="1"/>
        </w:numPr>
        <w:rPr>
          <w:rFonts w:asciiTheme="minorHAnsi" w:hAnsiTheme="minorHAnsi" w:cstheme="minorHAnsi"/>
          <w:i/>
          <w:iCs/>
        </w:rPr>
      </w:pPr>
      <w:r w:rsidRPr="00AB6C0A">
        <w:rPr>
          <w:rFonts w:asciiTheme="minorHAnsi" w:hAnsiTheme="minorHAnsi" w:cstheme="minorHAnsi"/>
          <w:i/>
          <w:iCs/>
        </w:rPr>
        <w:t>Dr Julie Gabel, if available</w:t>
      </w:r>
    </w:p>
    <w:p w14:paraId="09014207" w14:textId="77777777" w:rsidR="00AB6C0A" w:rsidRPr="00AB6C0A" w:rsidRDefault="00AB6C0A" w:rsidP="00AB6C0A">
      <w:pPr>
        <w:pStyle w:val="ListParagraph"/>
        <w:numPr>
          <w:ilvl w:val="0"/>
          <w:numId w:val="1"/>
        </w:numPr>
        <w:rPr>
          <w:rFonts w:asciiTheme="minorHAnsi" w:hAnsiTheme="minorHAnsi" w:cstheme="minorHAnsi"/>
          <w:i/>
          <w:iCs/>
        </w:rPr>
      </w:pPr>
      <w:r w:rsidRPr="00AB6C0A">
        <w:rPr>
          <w:rFonts w:asciiTheme="minorHAnsi" w:hAnsiTheme="minorHAnsi" w:cstheme="minorHAnsi"/>
          <w:i/>
          <w:iCs/>
        </w:rPr>
        <w:t>Amanda Feldspauch, MPH</w:t>
      </w:r>
    </w:p>
    <w:p w14:paraId="104EC3EA" w14:textId="77777777" w:rsidR="00AB6C0A" w:rsidRPr="00AB6C0A" w:rsidRDefault="00AB6C0A" w:rsidP="00AB6C0A">
      <w:pPr>
        <w:pStyle w:val="ListParagraph"/>
        <w:numPr>
          <w:ilvl w:val="0"/>
          <w:numId w:val="1"/>
        </w:numPr>
        <w:rPr>
          <w:rFonts w:asciiTheme="minorHAnsi" w:hAnsiTheme="minorHAnsi" w:cstheme="minorHAnsi"/>
          <w:i/>
          <w:iCs/>
        </w:rPr>
      </w:pPr>
      <w:r w:rsidRPr="00AB6C0A">
        <w:rPr>
          <w:rFonts w:asciiTheme="minorHAnsi" w:hAnsiTheme="minorHAnsi" w:cstheme="minorHAnsi"/>
          <w:i/>
          <w:iCs/>
        </w:rPr>
        <w:t>Skyler Brennan, MPH – during normal business hours only</w:t>
      </w:r>
    </w:p>
    <w:p w14:paraId="38BE926B" w14:textId="77777777" w:rsidR="00AB6C0A" w:rsidRPr="00AB6C0A" w:rsidRDefault="00AB6C0A" w:rsidP="00AB6C0A">
      <w:pPr>
        <w:pStyle w:val="ListParagraph"/>
        <w:numPr>
          <w:ilvl w:val="0"/>
          <w:numId w:val="1"/>
        </w:numPr>
        <w:rPr>
          <w:rFonts w:asciiTheme="minorHAnsi" w:hAnsiTheme="minorHAnsi" w:cstheme="minorHAnsi"/>
          <w:i/>
          <w:iCs/>
        </w:rPr>
      </w:pPr>
      <w:r w:rsidRPr="00AB6C0A">
        <w:rPr>
          <w:rFonts w:asciiTheme="minorHAnsi" w:hAnsiTheme="minorHAnsi" w:cstheme="minorHAnsi"/>
          <w:i/>
          <w:iCs/>
        </w:rPr>
        <w:t>Dr Cherie Drenzek</w:t>
      </w:r>
    </w:p>
    <w:p w14:paraId="019D5DA4" w14:textId="62AE9E42" w:rsidR="00CA617E" w:rsidRPr="0026690A" w:rsidRDefault="00AB6C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r>
        <w:rPr>
          <w:rFonts w:ascii="Arial" w:hAnsi="Arial" w:cs="Arial"/>
          <w:szCs w:val="24"/>
        </w:rPr>
        <w:t>The remainder of this document</w:t>
      </w:r>
      <w:r w:rsidR="00CA617E" w:rsidRPr="0026690A">
        <w:rPr>
          <w:rFonts w:ascii="Arial" w:hAnsi="Arial" w:cs="Arial"/>
          <w:szCs w:val="24"/>
        </w:rPr>
        <w:t xml:space="preserve"> </w:t>
      </w:r>
      <w:r>
        <w:rPr>
          <w:rFonts w:ascii="Arial" w:hAnsi="Arial" w:cs="Arial"/>
          <w:szCs w:val="24"/>
        </w:rPr>
        <w:t>provides guidance about</w:t>
      </w:r>
      <w:r w:rsidR="00CA617E" w:rsidRPr="0026690A">
        <w:rPr>
          <w:rFonts w:ascii="Arial" w:hAnsi="Arial" w:cs="Arial"/>
          <w:szCs w:val="24"/>
        </w:rPr>
        <w:t xml:space="preserve"> the basic approach which should be followed in these circumstances, unless extenuating factors dictate otherwise. If the SPI believes that extenuating circumstances may exist, medical backup should be consulted promptly.</w:t>
      </w:r>
    </w:p>
    <w:p w14:paraId="0D1E1CCC"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574364C6"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4F7DDAC8"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hanging="720"/>
        <w:rPr>
          <w:rFonts w:ascii="Arial" w:hAnsi="Arial" w:cs="Arial"/>
          <w:szCs w:val="24"/>
        </w:rPr>
      </w:pPr>
      <w:r w:rsidRPr="0026690A">
        <w:rPr>
          <w:rFonts w:ascii="Arial" w:hAnsi="Arial" w:cs="Arial"/>
          <w:szCs w:val="24"/>
        </w:rPr>
        <w:t>1.</w:t>
      </w:r>
      <w:r w:rsidRPr="0026690A">
        <w:rPr>
          <w:rFonts w:ascii="Arial" w:hAnsi="Arial" w:cs="Arial"/>
          <w:szCs w:val="24"/>
        </w:rPr>
        <w:tab/>
        <w:t>Obtain initial history of bite including circumstances of bite (how, when and where victim was bitten), whether the attack was provoked, current symptoms, previous therapy and present health status of victim.</w:t>
      </w:r>
    </w:p>
    <w:p w14:paraId="2A3EFA88"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4D1DFF02"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hanging="720"/>
        <w:rPr>
          <w:rFonts w:ascii="Arial" w:hAnsi="Arial" w:cs="Arial"/>
          <w:szCs w:val="24"/>
        </w:rPr>
      </w:pPr>
      <w:r w:rsidRPr="0026690A">
        <w:rPr>
          <w:rFonts w:ascii="Arial" w:hAnsi="Arial" w:cs="Arial"/>
          <w:szCs w:val="24"/>
        </w:rPr>
        <w:t>2.</w:t>
      </w:r>
      <w:r w:rsidRPr="0026690A">
        <w:rPr>
          <w:rFonts w:ascii="Arial" w:hAnsi="Arial" w:cs="Arial"/>
          <w:szCs w:val="24"/>
        </w:rPr>
        <w:tab/>
        <w:t>Identify species of biting animal.</w:t>
      </w:r>
    </w:p>
    <w:p w14:paraId="12CCD422"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56F2DF1D"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hanging="720"/>
        <w:rPr>
          <w:rFonts w:ascii="Arial" w:hAnsi="Arial" w:cs="Arial"/>
          <w:szCs w:val="24"/>
        </w:rPr>
      </w:pPr>
      <w:r w:rsidRPr="0026690A">
        <w:rPr>
          <w:rFonts w:ascii="Arial" w:hAnsi="Arial" w:cs="Arial"/>
          <w:szCs w:val="24"/>
        </w:rPr>
        <w:t>3.</w:t>
      </w:r>
      <w:r w:rsidRPr="0026690A">
        <w:rPr>
          <w:rFonts w:ascii="Arial" w:hAnsi="Arial" w:cs="Arial"/>
          <w:szCs w:val="24"/>
        </w:rPr>
        <w:tab/>
        <w:t xml:space="preserve">Follow appropriate decision tree to determine management regarding: </w:t>
      </w:r>
    </w:p>
    <w:p w14:paraId="3E662F4E"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7131A005"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1440"/>
        <w:rPr>
          <w:rFonts w:ascii="Arial" w:hAnsi="Arial" w:cs="Arial"/>
          <w:szCs w:val="24"/>
        </w:rPr>
      </w:pPr>
      <w:r w:rsidRPr="0026690A">
        <w:rPr>
          <w:rFonts w:ascii="Arial" w:hAnsi="Arial" w:cs="Arial"/>
          <w:szCs w:val="24"/>
        </w:rPr>
        <w:lastRenderedPageBreak/>
        <w:t xml:space="preserve">1. need for prompt medical care for the wound (to evaluate possibility of concealed injury to important structures, to cleanse and debride wound to decrease risk of infection, </w:t>
      </w:r>
      <w:proofErr w:type="spellStart"/>
      <w:r w:rsidRPr="0026690A">
        <w:rPr>
          <w:rFonts w:ascii="Arial" w:hAnsi="Arial" w:cs="Arial"/>
          <w:szCs w:val="24"/>
        </w:rPr>
        <w:t>etc</w:t>
      </w:r>
      <w:proofErr w:type="spellEnd"/>
      <w:r w:rsidRPr="0026690A">
        <w:rPr>
          <w:rFonts w:ascii="Arial" w:hAnsi="Arial" w:cs="Arial"/>
          <w:szCs w:val="24"/>
        </w:rPr>
        <w:t>)</w:t>
      </w:r>
    </w:p>
    <w:p w14:paraId="17D4D41C"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5AD9E60D"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1440"/>
        <w:rPr>
          <w:rFonts w:ascii="Arial" w:hAnsi="Arial" w:cs="Arial"/>
          <w:szCs w:val="24"/>
        </w:rPr>
      </w:pPr>
      <w:r w:rsidRPr="0026690A">
        <w:rPr>
          <w:rFonts w:ascii="Arial" w:hAnsi="Arial" w:cs="Arial"/>
          <w:szCs w:val="24"/>
        </w:rPr>
        <w:t>2. likelihood of need for prophylactic rabies treatment</w:t>
      </w:r>
    </w:p>
    <w:p w14:paraId="745B5D2E"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7012B375"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1440"/>
        <w:rPr>
          <w:rFonts w:ascii="Arial" w:hAnsi="Arial" w:cs="Arial"/>
          <w:szCs w:val="24"/>
        </w:rPr>
      </w:pPr>
      <w:r w:rsidRPr="0026690A">
        <w:rPr>
          <w:rFonts w:ascii="Arial" w:hAnsi="Arial" w:cs="Arial"/>
          <w:szCs w:val="24"/>
        </w:rPr>
        <w:t>3. need for prophylactic treatment for tetanus</w:t>
      </w:r>
    </w:p>
    <w:p w14:paraId="187B7230"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52D85774" w14:textId="22571E56"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hanging="720"/>
        <w:rPr>
          <w:rFonts w:ascii="Arial" w:hAnsi="Arial" w:cs="Arial"/>
          <w:szCs w:val="24"/>
        </w:rPr>
      </w:pPr>
      <w:r w:rsidRPr="0026690A">
        <w:rPr>
          <w:rFonts w:ascii="Arial" w:hAnsi="Arial" w:cs="Arial"/>
          <w:szCs w:val="24"/>
        </w:rPr>
        <w:t>4.</w:t>
      </w:r>
      <w:r w:rsidRPr="0026690A">
        <w:rPr>
          <w:rFonts w:ascii="Arial" w:hAnsi="Arial" w:cs="Arial"/>
          <w:szCs w:val="24"/>
        </w:rPr>
        <w:tab/>
        <w:t>The information in the decision trees REGARDING RABIES PROPHYLAXIS ONLY is that produced by Georgia</w:t>
      </w:r>
      <w:r w:rsidR="00BF57DC">
        <w:rPr>
          <w:rFonts w:ascii="Arial" w:hAnsi="Arial" w:cs="Arial"/>
          <w:szCs w:val="24"/>
        </w:rPr>
        <w:t xml:space="preserve"> Department of Public Health</w:t>
      </w:r>
      <w:r w:rsidR="00BF57DC" w:rsidRPr="0026690A">
        <w:rPr>
          <w:rFonts w:ascii="Arial" w:hAnsi="Arial" w:cs="Arial"/>
          <w:szCs w:val="24"/>
        </w:rPr>
        <w:t xml:space="preserve"> and</w:t>
      </w:r>
      <w:r w:rsidRPr="0026690A">
        <w:rPr>
          <w:rFonts w:ascii="Arial" w:hAnsi="Arial" w:cs="Arial"/>
          <w:szCs w:val="24"/>
        </w:rPr>
        <w:t xml:space="preserve"> should be </w:t>
      </w:r>
      <w:r w:rsidRPr="0026690A">
        <w:rPr>
          <w:rFonts w:ascii="Arial" w:hAnsi="Arial" w:cs="Arial"/>
          <w:b/>
          <w:szCs w:val="24"/>
          <w:u w:val="single"/>
        </w:rPr>
        <w:t>quoted exactly as written</w:t>
      </w:r>
      <w:r w:rsidRPr="0026690A">
        <w:rPr>
          <w:rFonts w:ascii="Arial" w:hAnsi="Arial" w:cs="Arial"/>
          <w:szCs w:val="24"/>
        </w:rPr>
        <w:t xml:space="preserve"> to callers. This information is provided based on the best available data. However, the final decision must be made by the victim, victim's relatives, and treating physician(s) whether or not to initiate rabies prophylaxis. </w:t>
      </w:r>
    </w:p>
    <w:p w14:paraId="509FE9F0"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21DE6C23"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hanging="720"/>
        <w:rPr>
          <w:rFonts w:ascii="Arial" w:hAnsi="Arial" w:cs="Arial"/>
          <w:szCs w:val="24"/>
        </w:rPr>
      </w:pPr>
      <w:r w:rsidRPr="0026690A">
        <w:rPr>
          <w:rFonts w:ascii="Arial" w:hAnsi="Arial" w:cs="Arial"/>
          <w:szCs w:val="24"/>
        </w:rPr>
        <w:t xml:space="preserve">5. </w:t>
      </w:r>
      <w:r w:rsidRPr="0026690A">
        <w:rPr>
          <w:rFonts w:ascii="Arial" w:hAnsi="Arial" w:cs="Arial"/>
          <w:szCs w:val="24"/>
        </w:rPr>
        <w:tab/>
        <w:t>The information in the decision trees REGARDING WOUND MANAGEMENT AND TETANUS PROPHYLAXIS has been developed by the Medical Staff of the Georgia Poison Center, and represents our best judgment. It too is provided for guidance, but the final decisions must be made by the victim, victim's relatives, and treating physician(s).</w:t>
      </w:r>
    </w:p>
    <w:p w14:paraId="6CE74D49"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008CC9CE"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hanging="720"/>
        <w:rPr>
          <w:rFonts w:ascii="Arial" w:hAnsi="Arial" w:cs="Arial"/>
          <w:szCs w:val="24"/>
        </w:rPr>
      </w:pPr>
      <w:r w:rsidRPr="0026690A">
        <w:rPr>
          <w:rFonts w:ascii="Arial" w:hAnsi="Arial" w:cs="Arial"/>
          <w:szCs w:val="24"/>
        </w:rPr>
        <w:t>6.</w:t>
      </w:r>
      <w:r w:rsidRPr="0026690A">
        <w:rPr>
          <w:rFonts w:ascii="Arial" w:hAnsi="Arial" w:cs="Arial"/>
          <w:szCs w:val="24"/>
        </w:rPr>
        <w:tab/>
        <w:t xml:space="preserve">Callers should be referred to their local (city, county, </w:t>
      </w:r>
      <w:proofErr w:type="spellStart"/>
      <w:r w:rsidRPr="0026690A">
        <w:rPr>
          <w:rFonts w:ascii="Arial" w:hAnsi="Arial" w:cs="Arial"/>
          <w:szCs w:val="24"/>
        </w:rPr>
        <w:t>etc</w:t>
      </w:r>
      <w:proofErr w:type="spellEnd"/>
      <w:r w:rsidRPr="0026690A">
        <w:rPr>
          <w:rFonts w:ascii="Arial" w:hAnsi="Arial" w:cs="Arial"/>
          <w:szCs w:val="24"/>
        </w:rPr>
        <w:t xml:space="preserve">) Animal Control office for assistance in locating and/or capturing animals that have inflicted bites. If a local Animal Control number cannot be found in their telephone directory, they may contact the local Health Department for assistance in locating the appropriate person(s) to locate and/or capture animals. The list of County Health Departments is in the guideline book in the RABIES section. </w:t>
      </w:r>
      <w:r w:rsidRPr="0026690A">
        <w:rPr>
          <w:rFonts w:ascii="Arial" w:hAnsi="Arial" w:cs="Arial"/>
          <w:szCs w:val="24"/>
          <w:u w:val="single"/>
        </w:rPr>
        <w:t xml:space="preserve">The home telephone number of County Health Department officials should </w:t>
      </w:r>
      <w:r w:rsidRPr="0026690A">
        <w:rPr>
          <w:rFonts w:ascii="Arial" w:hAnsi="Arial" w:cs="Arial"/>
          <w:b/>
          <w:szCs w:val="24"/>
          <w:u w:val="single"/>
        </w:rPr>
        <w:t>NOT</w:t>
      </w:r>
      <w:r w:rsidRPr="0026690A">
        <w:rPr>
          <w:rFonts w:ascii="Arial" w:hAnsi="Arial" w:cs="Arial"/>
          <w:szCs w:val="24"/>
          <w:u w:val="single"/>
        </w:rPr>
        <w:t xml:space="preserve"> be given out</w:t>
      </w:r>
      <w:r w:rsidRPr="0026690A">
        <w:rPr>
          <w:rFonts w:ascii="Arial" w:hAnsi="Arial" w:cs="Arial"/>
          <w:szCs w:val="24"/>
        </w:rPr>
        <w:t>; if necessary to contact them after hours, we should place the call and conference the caller with the official, or else give the official the caller's phone number and have them contact the caller directly.</w:t>
      </w:r>
    </w:p>
    <w:p w14:paraId="3426A70C"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49E34E94" w14:textId="10BCAA35"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hanging="720"/>
        <w:rPr>
          <w:rFonts w:ascii="Arial" w:hAnsi="Arial" w:cs="Arial"/>
          <w:szCs w:val="24"/>
        </w:rPr>
      </w:pPr>
      <w:r w:rsidRPr="0026690A">
        <w:rPr>
          <w:rFonts w:ascii="Arial" w:hAnsi="Arial" w:cs="Arial"/>
          <w:szCs w:val="24"/>
        </w:rPr>
        <w:t>7.</w:t>
      </w:r>
      <w:r w:rsidRPr="0026690A">
        <w:rPr>
          <w:rFonts w:ascii="Arial" w:hAnsi="Arial" w:cs="Arial"/>
          <w:szCs w:val="24"/>
        </w:rPr>
        <w:tab/>
        <w:t xml:space="preserve">All information requested in the </w:t>
      </w:r>
      <w:r w:rsidR="00BF57DC">
        <w:rPr>
          <w:rFonts w:ascii="Arial" w:hAnsi="Arial" w:cs="Arial"/>
          <w:szCs w:val="24"/>
        </w:rPr>
        <w:t xml:space="preserve">Rabies/ Animal Bite </w:t>
      </w:r>
      <w:proofErr w:type="spellStart"/>
      <w:r w:rsidR="00BF57DC">
        <w:rPr>
          <w:rFonts w:ascii="Arial" w:hAnsi="Arial" w:cs="Arial"/>
          <w:szCs w:val="24"/>
        </w:rPr>
        <w:t>ToxSentry</w:t>
      </w:r>
      <w:proofErr w:type="spellEnd"/>
      <w:r w:rsidR="00BF57DC">
        <w:rPr>
          <w:rFonts w:ascii="Arial" w:hAnsi="Arial" w:cs="Arial"/>
          <w:szCs w:val="24"/>
        </w:rPr>
        <w:t xml:space="preserve"> </w:t>
      </w:r>
      <w:r w:rsidRPr="0026690A">
        <w:rPr>
          <w:rFonts w:ascii="Arial" w:hAnsi="Arial" w:cs="Arial"/>
          <w:szCs w:val="24"/>
        </w:rPr>
        <w:t xml:space="preserve">form must be obtained </w:t>
      </w:r>
      <w:proofErr w:type="gramStart"/>
      <w:r w:rsidRPr="0026690A">
        <w:rPr>
          <w:rFonts w:ascii="Arial" w:hAnsi="Arial" w:cs="Arial"/>
          <w:szCs w:val="24"/>
        </w:rPr>
        <w:t>if at all possible</w:t>
      </w:r>
      <w:proofErr w:type="gramEnd"/>
      <w:r w:rsidRPr="0026690A">
        <w:rPr>
          <w:rFonts w:ascii="Arial" w:hAnsi="Arial" w:cs="Arial"/>
          <w:szCs w:val="24"/>
        </w:rPr>
        <w:t>. Be sure to ask for the specific signs of rabies, rather than just asking, "Does the animal have signs of rabies?" Once the short-term follow-up is completed (to the HCF identified, 4-6 hours after initial PC contact), the form should be transmitted electronically to DPH.</w:t>
      </w:r>
    </w:p>
    <w:p w14:paraId="304A533A" w14:textId="77777777"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Arial" w:hAnsi="Arial" w:cs="Arial"/>
          <w:szCs w:val="24"/>
        </w:rPr>
      </w:pPr>
    </w:p>
    <w:p w14:paraId="2E67B6EE" w14:textId="50060232" w:rsidR="00CA617E" w:rsidRPr="0026690A"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240" w:lineRule="atLeast"/>
        <w:rPr>
          <w:rFonts w:ascii="Arial" w:hAnsi="Arial" w:cs="Arial"/>
          <w:szCs w:val="24"/>
        </w:rPr>
      </w:pPr>
      <w:r w:rsidRPr="0026690A">
        <w:rPr>
          <w:rFonts w:ascii="Arial" w:hAnsi="Arial" w:cs="Arial"/>
          <w:szCs w:val="24"/>
        </w:rPr>
        <w:t xml:space="preserve">RJG, 5/18/94, </w:t>
      </w:r>
      <w:r w:rsidR="00AB6C0A">
        <w:rPr>
          <w:rFonts w:ascii="Arial" w:hAnsi="Arial" w:cs="Arial"/>
          <w:szCs w:val="24"/>
        </w:rPr>
        <w:t>last revised 1/12/23</w:t>
      </w:r>
    </w:p>
    <w:sectPr w:rsidR="00CA617E" w:rsidRPr="0026690A" w:rsidSect="00CA617E">
      <w:headerReference w:type="even" r:id="rId7"/>
      <w:headerReference w:type="default" r:id="rId8"/>
      <w:footerReference w:type="even" r:id="rId9"/>
      <w:footerReference w:type="default" r:id="rId10"/>
      <w:pgSz w:w="12240" w:h="15840"/>
      <w:pgMar w:top="1440" w:right="864" w:bottom="196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2851" w14:textId="77777777" w:rsidR="00CA617E" w:rsidRDefault="00CA617E">
      <w:r>
        <w:separator/>
      </w:r>
    </w:p>
  </w:endnote>
  <w:endnote w:type="continuationSeparator" w:id="0">
    <w:p w14:paraId="163F4A12" w14:textId="77777777" w:rsidR="00CA617E" w:rsidRDefault="00CA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rus BT">
    <w:altName w:val="Courier New"/>
    <w:panose1 w:val="00000000000000000000"/>
    <w:charset w:val="00"/>
    <w:family w:val="swiss"/>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E709" w14:textId="77777777" w:rsidR="00CA617E"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jc w:val="right"/>
      <w:rPr>
        <w:rFonts w:ascii="Arrus BT" w:hAnsi="Arrus BT"/>
      </w:rPr>
    </w:pPr>
    <w:r>
      <w:rPr>
        <w:rFonts w:ascii="Arrus BT" w:hAnsi="Arrus BT"/>
        <w:b/>
      </w:rPr>
      <w:t xml:space="preserve">Section 1, Guideline 4, page </w:t>
    </w:r>
    <w:r>
      <w:rPr>
        <w:rFonts w:ascii="Arrus BT" w:hAnsi="Arrus BT"/>
        <w:b/>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92C5" w14:textId="77777777" w:rsidR="00CA617E"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240" w:lineRule="atLeast"/>
      <w:jc w:val="right"/>
      <w:rPr>
        <w:rFonts w:ascii="Arrus BT" w:hAnsi="Arrus BT"/>
      </w:rPr>
    </w:pPr>
    <w:r>
      <w:rPr>
        <w:rFonts w:ascii="Arrus BT" w:hAnsi="Arrus BT"/>
        <w:b/>
      </w:rPr>
      <w:t xml:space="preserve">Section 1, Guideline 4, page </w:t>
    </w:r>
    <w:r>
      <w:rPr>
        <w:rFonts w:ascii="Arrus BT" w:hAnsi="Arrus BT"/>
        <w:b/>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A0A6" w14:textId="77777777" w:rsidR="00CA617E" w:rsidRDefault="00CA617E">
      <w:r>
        <w:separator/>
      </w:r>
    </w:p>
  </w:footnote>
  <w:footnote w:type="continuationSeparator" w:id="0">
    <w:p w14:paraId="2D35BABD" w14:textId="77777777" w:rsidR="00CA617E" w:rsidRDefault="00CA6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5820" w14:textId="77777777" w:rsidR="00CA617E"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EF1A" w14:textId="77777777" w:rsidR="00CA617E" w:rsidRDefault="00CA6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93109"/>
    <w:multiLevelType w:val="hybridMultilevel"/>
    <w:tmpl w:val="E246416C"/>
    <w:lvl w:ilvl="0" w:tplc="2B7EF684">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96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7E"/>
    <w:rsid w:val="0026690A"/>
    <w:rsid w:val="00AB6C0A"/>
    <w:rsid w:val="00BF57DC"/>
    <w:rsid w:val="00CA617E"/>
    <w:rsid w:val="00E4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0DACAA"/>
  <w15:docId w15:val="{B01D9977-363E-4308-88A2-4245435F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rPr>
      <w:rFonts w:cs="Times New Roman"/>
    </w:rPr>
  </w:style>
  <w:style w:type="paragraph" w:styleId="ListParagraph">
    <w:name w:val="List Paragraph"/>
    <w:basedOn w:val="Normal"/>
    <w:uiPriority w:val="34"/>
    <w:qFormat/>
    <w:rsid w:val="00AB6C0A"/>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670</Words>
  <Characters>3594</Characters>
  <Application>Microsoft Office Word</Application>
  <DocSecurity>0</DocSecurity>
  <Lines>79</Lines>
  <Paragraphs>38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Geller</dc:creator>
  <cp:keywords/>
  <cp:lastModifiedBy>Stephanie L. Hon</cp:lastModifiedBy>
  <cp:revision>2</cp:revision>
  <dcterms:created xsi:type="dcterms:W3CDTF">2026-03-03T15:06:00Z</dcterms:created>
  <dcterms:modified xsi:type="dcterms:W3CDTF">2026-03-03T15:06:00Z</dcterms:modified>
</cp:coreProperties>
</file>